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2B" w:rsidRDefault="0009062B" w:rsidP="00ED1574">
      <w:pPr>
        <w:pStyle w:val="Heading2"/>
        <w:spacing w:before="0"/>
      </w:pPr>
      <w:bookmarkStart w:id="0" w:name="_GoBack"/>
      <w:bookmarkEnd w:id="0"/>
      <w:r>
        <w:t>Identification of gifted M</w:t>
      </w:r>
      <w:r>
        <w:rPr>
          <w:rFonts w:cstheme="minorHAnsi"/>
        </w:rPr>
        <w:t>ā</w:t>
      </w:r>
      <w:r>
        <w:t>ori students</w:t>
      </w:r>
    </w:p>
    <w:tbl>
      <w:tblPr>
        <w:tblW w:w="0" w:type="auto"/>
        <w:tblBorders>
          <w:top w:val="single" w:sz="4" w:space="0" w:color="7D7D73"/>
          <w:left w:val="single" w:sz="4" w:space="0" w:color="7D7D73"/>
          <w:bottom w:val="single" w:sz="4" w:space="0" w:color="7D7D73"/>
          <w:right w:val="single" w:sz="4" w:space="0" w:color="7D7D73"/>
          <w:insideH w:val="single" w:sz="6" w:space="0" w:color="7D7D73"/>
          <w:insideV w:val="single" w:sz="6" w:space="0" w:color="7D7D73"/>
        </w:tblBorders>
        <w:tblCellMar>
          <w:top w:w="57" w:type="dxa"/>
          <w:left w:w="85" w:type="dxa"/>
          <w:right w:w="142" w:type="dxa"/>
        </w:tblCellMar>
        <w:tblLook w:val="01E0" w:firstRow="1" w:lastRow="1" w:firstColumn="1" w:lastColumn="1" w:noHBand="0" w:noVBand="0"/>
      </w:tblPr>
      <w:tblGrid>
        <w:gridCol w:w="2276"/>
        <w:gridCol w:w="3373"/>
        <w:gridCol w:w="4224"/>
        <w:gridCol w:w="4924"/>
      </w:tblGrid>
      <w:tr w:rsidR="00ED1574" w:rsidRPr="00ED1574" w:rsidTr="002D2732">
        <w:trPr>
          <w:cantSplit/>
          <w:tblHeader/>
        </w:trPr>
        <w:tc>
          <w:tcPr>
            <w:tcW w:w="0" w:type="auto"/>
            <w:shd w:val="clear" w:color="auto" w:fill="8EBD3F"/>
          </w:tcPr>
          <w:p w:rsidR="00ED1574" w:rsidRPr="00ED1574" w:rsidRDefault="00ED1574" w:rsidP="00ED1574">
            <w:pPr>
              <w:pStyle w:val="Tablenormal0"/>
              <w:spacing w:after="40"/>
              <w:rPr>
                <w:b/>
                <w:color w:val="FFFFFF" w:themeColor="background1"/>
              </w:rPr>
            </w:pPr>
            <w:r w:rsidRPr="00ED1574">
              <w:rPr>
                <w:b/>
                <w:color w:val="FFFFFF" w:themeColor="background1"/>
              </w:rPr>
              <w:t xml:space="preserve">Identification approach </w:t>
            </w:r>
          </w:p>
        </w:tc>
        <w:tc>
          <w:tcPr>
            <w:tcW w:w="0" w:type="auto"/>
            <w:shd w:val="clear" w:color="auto" w:fill="8EBD3F"/>
          </w:tcPr>
          <w:p w:rsidR="00ED1574" w:rsidRPr="00ED1574" w:rsidRDefault="00ED1574" w:rsidP="00ED1574">
            <w:pPr>
              <w:pStyle w:val="Tablenormal0"/>
              <w:spacing w:after="40"/>
              <w:rPr>
                <w:b/>
                <w:color w:val="FFFFFF" w:themeColor="background1"/>
              </w:rPr>
            </w:pPr>
            <w:r w:rsidRPr="00ED1574">
              <w:rPr>
                <w:b/>
                <w:color w:val="FFFFFF" w:themeColor="background1"/>
              </w:rPr>
              <w:t>Advantages</w:t>
            </w:r>
          </w:p>
        </w:tc>
        <w:tc>
          <w:tcPr>
            <w:tcW w:w="0" w:type="auto"/>
            <w:shd w:val="clear" w:color="auto" w:fill="8EBD3F"/>
          </w:tcPr>
          <w:p w:rsidR="00ED1574" w:rsidRPr="00ED1574" w:rsidRDefault="00ED1574" w:rsidP="00ED1574">
            <w:pPr>
              <w:pStyle w:val="Tablenormal0"/>
              <w:spacing w:after="40"/>
              <w:rPr>
                <w:b/>
                <w:color w:val="FFFFFF" w:themeColor="background1"/>
              </w:rPr>
            </w:pPr>
            <w:r w:rsidRPr="00ED1574">
              <w:rPr>
                <w:b/>
                <w:color w:val="FFFFFF" w:themeColor="background1"/>
              </w:rPr>
              <w:t xml:space="preserve"> Points to consider</w:t>
            </w:r>
          </w:p>
        </w:tc>
        <w:tc>
          <w:tcPr>
            <w:tcW w:w="0" w:type="auto"/>
            <w:shd w:val="clear" w:color="auto" w:fill="8EBD3F"/>
          </w:tcPr>
          <w:p w:rsidR="00ED1574" w:rsidRPr="00ED1574" w:rsidRDefault="00ED1574" w:rsidP="00ED1574">
            <w:pPr>
              <w:pStyle w:val="Tablenormal0"/>
              <w:spacing w:after="40"/>
              <w:rPr>
                <w:b/>
                <w:color w:val="FFFFFF" w:themeColor="background1"/>
              </w:rPr>
            </w:pPr>
            <w:r w:rsidRPr="00ED1574">
              <w:rPr>
                <w:b/>
                <w:color w:val="FFFFFF" w:themeColor="background1"/>
              </w:rPr>
              <w:t>Suggestions to enhance implementation</w:t>
            </w:r>
          </w:p>
        </w:tc>
      </w:tr>
      <w:tr w:rsidR="00ED1574" w:rsidRPr="00A8402E" w:rsidTr="002D2732">
        <w:trPr>
          <w:cantSplit/>
        </w:trPr>
        <w:tc>
          <w:tcPr>
            <w:tcW w:w="0" w:type="auto"/>
          </w:tcPr>
          <w:p w:rsidR="00ED1574" w:rsidRDefault="00ED1574" w:rsidP="00167B8A">
            <w:r>
              <w:t>Culturally responsive environment approach</w:t>
            </w:r>
          </w:p>
        </w:tc>
        <w:tc>
          <w:tcPr>
            <w:tcW w:w="0" w:type="auto"/>
          </w:tcPr>
          <w:p w:rsidR="00ED1574" w:rsidRDefault="00ED1574" w:rsidP="00ED1574">
            <w:pPr>
              <w:pStyle w:val="Tablebullet"/>
            </w:pPr>
            <w:r>
              <w:t>M</w:t>
            </w:r>
            <w:r>
              <w:rPr>
                <w:rFonts w:cstheme="minorHAnsi"/>
              </w:rPr>
              <w:t>ā</w:t>
            </w:r>
            <w:r>
              <w:t>ori students’ culture is valued, affirmed, and developed</w:t>
            </w:r>
          </w:p>
          <w:p w:rsidR="00ED1574" w:rsidRDefault="00ED1574" w:rsidP="00ED1574">
            <w:pPr>
              <w:pStyle w:val="Tablebullet"/>
            </w:pPr>
            <w:r>
              <w:t>Responsive, challenging environment allows giftedness to ‘surface’</w:t>
            </w:r>
          </w:p>
        </w:tc>
        <w:tc>
          <w:tcPr>
            <w:tcW w:w="0" w:type="auto"/>
          </w:tcPr>
          <w:p w:rsidR="00ED1574" w:rsidRDefault="00ED1574" w:rsidP="006E03B9">
            <w:pPr>
              <w:pStyle w:val="Tablebullet"/>
            </w:pPr>
            <w:r>
              <w:t>Reliant on teacher knowledge of Māori culture, opportunities to incorporate cultural input and school/centre-wide support</w:t>
            </w:r>
          </w:p>
        </w:tc>
        <w:tc>
          <w:tcPr>
            <w:tcW w:w="0" w:type="auto"/>
          </w:tcPr>
          <w:p w:rsidR="00ED1574" w:rsidRDefault="00ED1574" w:rsidP="00ED1574">
            <w:pPr>
              <w:pStyle w:val="Tablebullet"/>
            </w:pPr>
            <w:r>
              <w:t xml:space="preserve">Use </w:t>
            </w:r>
            <w:proofErr w:type="spellStart"/>
            <w:r>
              <w:t>te</w:t>
            </w:r>
            <w:proofErr w:type="spellEnd"/>
            <w:r>
              <w:t xml:space="preserve"> reo Māori in the classroom </w:t>
            </w:r>
          </w:p>
          <w:p w:rsidR="00ED1574" w:rsidRDefault="00ED1574" w:rsidP="00ED1574">
            <w:pPr>
              <w:pStyle w:val="Tablebullet"/>
            </w:pPr>
            <w:r>
              <w:t>Include culturally appropriate materials whenever possible</w:t>
            </w:r>
          </w:p>
          <w:p w:rsidR="00ED1574" w:rsidRDefault="00ED1574" w:rsidP="00ED1574">
            <w:pPr>
              <w:pStyle w:val="Tablebullet"/>
            </w:pPr>
            <w:r>
              <w:t xml:space="preserve">Overtly show that Māori students’ cultural heritage is valued and appreciated in the classroom  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Classroom observations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Allows observation of ability over time</w:t>
            </w:r>
          </w:p>
          <w:p w:rsidR="006E03B9" w:rsidRDefault="006E03B9" w:rsidP="00ED1574">
            <w:pPr>
              <w:pStyle w:val="Tablebullet"/>
            </w:pPr>
            <w:r>
              <w:t>Provides multiple opportunities for assessment of ability</w:t>
            </w:r>
          </w:p>
          <w:p w:rsidR="006E03B9" w:rsidRDefault="006E03B9" w:rsidP="00ED1574">
            <w:pPr>
              <w:pStyle w:val="Tablebullet"/>
            </w:pPr>
            <w:r>
              <w:t>Rate of progress as well as achievement can be assessed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Teachers require sound knowledge of Māori culture and Māori perspectives of giftedness</w:t>
            </w:r>
          </w:p>
          <w:p w:rsidR="006E03B9" w:rsidRDefault="006E03B9" w:rsidP="00ED1574">
            <w:pPr>
              <w:pStyle w:val="Tablebullet"/>
            </w:pPr>
            <w:r>
              <w:t>Teachers need to “look beyond” any misbehaviour</w:t>
            </w:r>
          </w:p>
          <w:p w:rsidR="006E03B9" w:rsidRDefault="006E03B9" w:rsidP="00ED1574">
            <w:pPr>
              <w:pStyle w:val="Tablebullet"/>
            </w:pPr>
            <w:r>
              <w:t xml:space="preserve">Students will have experienced varying opportunities and encouragement to display gifts and talents so need to be alert to </w:t>
            </w:r>
            <w:r w:rsidRPr="00C654C6">
              <w:rPr>
                <w:b/>
              </w:rPr>
              <w:t>potential</w:t>
            </w:r>
            <w:r>
              <w:t xml:space="preserve"> giftedness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Ensure culturally responsive classroom environment where Māori culture is understood and valued</w:t>
            </w:r>
          </w:p>
          <w:p w:rsidR="006E03B9" w:rsidRDefault="006E03B9" w:rsidP="00ED1574">
            <w:pPr>
              <w:pStyle w:val="Tablebullet"/>
            </w:pPr>
            <w:r>
              <w:t xml:space="preserve">Focus on qualities, e.g. </w:t>
            </w:r>
            <w:proofErr w:type="spellStart"/>
            <w:r>
              <w:t>manaakitanga</w:t>
            </w:r>
            <w:proofErr w:type="spellEnd"/>
            <w:r>
              <w:t xml:space="preserve">, </w:t>
            </w:r>
            <w:proofErr w:type="spellStart"/>
            <w:r>
              <w:t>mana</w:t>
            </w:r>
            <w:proofErr w:type="spellEnd"/>
            <w:r>
              <w:t xml:space="preserve">, courage, perseverance, as well as abilities, e.g. academic, musical, physical.   </w:t>
            </w:r>
          </w:p>
          <w:p w:rsidR="006E03B9" w:rsidRDefault="006E03B9" w:rsidP="00ED1574">
            <w:pPr>
              <w:pStyle w:val="Tablebullet"/>
            </w:pPr>
            <w:r>
              <w:t xml:space="preserve">Provide suitably challenging, culturally relevant tasks 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Checklists and rating scales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Students identified using common characteristics of giftedness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Checklists can encourage cultural stereotyping</w:t>
            </w:r>
          </w:p>
          <w:p w:rsidR="006E03B9" w:rsidRDefault="006E03B9" w:rsidP="00ED1574">
            <w:pPr>
              <w:pStyle w:val="Tablebullet"/>
            </w:pPr>
            <w:r>
              <w:t>Generic lists tend to focus on a narrow range of characteristics</w:t>
            </w:r>
          </w:p>
          <w:p w:rsidR="006E03B9" w:rsidRDefault="006E03B9" w:rsidP="00ED1574">
            <w:pPr>
              <w:pStyle w:val="Tablebullet"/>
            </w:pPr>
            <w:r>
              <w:t>May not be culturally appropriate</w:t>
            </w:r>
          </w:p>
          <w:p w:rsidR="006E03B9" w:rsidRDefault="006E03B9" w:rsidP="00ED1574">
            <w:pPr>
              <w:pStyle w:val="Tablebullet"/>
            </w:pPr>
            <w:r>
              <w:t xml:space="preserve">Expertise in some checklist items needed to accurately gauge student’s ability level, e.g. in </w:t>
            </w:r>
            <w:proofErr w:type="spellStart"/>
            <w:r>
              <w:t>te</w:t>
            </w:r>
            <w:proofErr w:type="spellEnd"/>
            <w:r>
              <w:t xml:space="preserve"> reo</w:t>
            </w:r>
          </w:p>
          <w:p w:rsidR="006E03B9" w:rsidRDefault="006E03B9" w:rsidP="00ED1574">
            <w:pPr>
              <w:pStyle w:val="Tablebullet"/>
            </w:pPr>
            <w:r>
              <w:t>Be aware of your own cultural lens when assessing attributes, e.g. humour will be expressed differently in different cultures.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Check scales cover all areas of giftedness recognised by Māori - add any that are missing</w:t>
            </w:r>
          </w:p>
          <w:p w:rsidR="006E03B9" w:rsidRDefault="006E03B9" w:rsidP="00ED1574">
            <w:pPr>
              <w:pStyle w:val="Tablebullet"/>
            </w:pPr>
            <w:r w:rsidRPr="00FF61B5">
              <w:t xml:space="preserve">Ensure items include </w:t>
            </w:r>
            <w:r>
              <w:t>Māori</w:t>
            </w:r>
            <w:r w:rsidRPr="00FF61B5">
              <w:t xml:space="preserve"> perspectives of each characteristic e.g. does leadership characteristic include different styles of </w:t>
            </w:r>
            <w:r>
              <w:t>Māori</w:t>
            </w:r>
            <w:r w:rsidRPr="00FF61B5">
              <w:t xml:space="preserve"> leadership?</w:t>
            </w:r>
          </w:p>
          <w:p w:rsidR="006E03B9" w:rsidRDefault="006E03B9" w:rsidP="00ED1574">
            <w:pPr>
              <w:pStyle w:val="Tablebullet"/>
            </w:pPr>
            <w:r>
              <w:t>Include people with cultural expertise when  a Māori  perspective is required to help make an accurate judgment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Products, processes, performances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Can provide measure of both potential and performance </w:t>
            </w:r>
          </w:p>
          <w:p w:rsidR="006E03B9" w:rsidRDefault="006E03B9" w:rsidP="00ED1574">
            <w:pPr>
              <w:pStyle w:val="Tablebullet"/>
            </w:pPr>
            <w:r>
              <w:t>Portfolio approach may allow measure of rate of progress</w:t>
            </w:r>
          </w:p>
          <w:p w:rsidR="006E03B9" w:rsidRDefault="006E03B9" w:rsidP="00ED1574">
            <w:pPr>
              <w:pStyle w:val="Tablebullet"/>
            </w:pPr>
            <w:r>
              <w:t xml:space="preserve">Provides tangible evidence of ability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Students may not share cultural knowledge if they feel it is not valued</w:t>
            </w:r>
          </w:p>
          <w:p w:rsidR="006E03B9" w:rsidRDefault="006E03B9" w:rsidP="00ED1574">
            <w:pPr>
              <w:pStyle w:val="Tablebullet"/>
            </w:pPr>
            <w:r>
              <w:t xml:space="preserve">Cultural perspective needed to appreciate Māori-specific attributes and abilities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Evaluate holistically – pay attention to vision, understanding, motivation, purpose and process</w:t>
            </w:r>
          </w:p>
          <w:p w:rsidR="006E03B9" w:rsidRDefault="006E03B9" w:rsidP="00ED1574">
            <w:pPr>
              <w:pStyle w:val="Tablebullet"/>
            </w:pPr>
            <w:r>
              <w:t>Include people with cultural expertise when  a Māori  perspective is required to help make an accurate judgment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lastRenderedPageBreak/>
              <w:t>Teacher nomination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 Utilises teachers’ knowledge of student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Potential for low  &amp;/or inaccurate identification because many teachers are white, middle class, </w:t>
            </w:r>
            <w:proofErr w:type="spellStart"/>
            <w:r>
              <w:t>monocultural</w:t>
            </w:r>
            <w:proofErr w:type="spellEnd"/>
            <w:r>
              <w:t xml:space="preserve"> with limited knowledge of Māori culture and Māori concepts of giftedness</w:t>
            </w:r>
          </w:p>
          <w:p w:rsidR="006E03B9" w:rsidRDefault="006E03B9" w:rsidP="00ED1574">
            <w:pPr>
              <w:pStyle w:val="Tablebullet"/>
            </w:pPr>
            <w:r>
              <w:t xml:space="preserve">Many teachers have low expectations of Māori students.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Have high expectations for students and understand and appreciate Māori culture. </w:t>
            </w:r>
          </w:p>
          <w:p w:rsidR="006E03B9" w:rsidRDefault="006E03B9" w:rsidP="00ED1574">
            <w:pPr>
              <w:pStyle w:val="Tablebullet"/>
            </w:pPr>
            <w:r>
              <w:t>Improved by use of specifically developed lists of culturally appropriate characteristics and behaviours and consultation with cultural experts if/when needed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Parent nomination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Utilises parents’ in depth knowledge of their child.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Parents may see nomination as </w:t>
            </w:r>
            <w:proofErr w:type="spellStart"/>
            <w:r>
              <w:t>whakahihi</w:t>
            </w:r>
            <w:proofErr w:type="spellEnd"/>
            <w:r>
              <w:t xml:space="preserve"> (boasting) so not suggest their child. </w:t>
            </w:r>
          </w:p>
          <w:p w:rsidR="006E03B9" w:rsidRDefault="006E03B9" w:rsidP="00ED1574">
            <w:pPr>
              <w:pStyle w:val="Tablebullet"/>
            </w:pPr>
            <w:r>
              <w:t xml:space="preserve">Poor/minimal relationship with teacher will negatively affect parents’ responses.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Ask parents about their child’s strengths, interests and out-of-school involvements.</w:t>
            </w:r>
          </w:p>
          <w:p w:rsidR="006E03B9" w:rsidRDefault="006E03B9" w:rsidP="00ED1574">
            <w:pPr>
              <w:pStyle w:val="Tablebullet"/>
            </w:pPr>
            <w:r>
              <w:t xml:space="preserve">Establish positive relationship with parents before asking for nominations 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proofErr w:type="spellStart"/>
            <w:r>
              <w:t>Whanau</w:t>
            </w:r>
            <w:proofErr w:type="spellEnd"/>
            <w:r>
              <w:t xml:space="preserve"> and Māori community/group nomination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proofErr w:type="spellStart"/>
            <w:r>
              <w:t>Whanau</w:t>
            </w:r>
            <w:proofErr w:type="spellEnd"/>
            <w:r>
              <w:t xml:space="preserve"> will have valuable information about children’s strengths, talents and precocious development. </w:t>
            </w:r>
          </w:p>
          <w:p w:rsidR="006E03B9" w:rsidRDefault="006E03B9" w:rsidP="00ED1574">
            <w:pPr>
              <w:pStyle w:val="Tablebullet"/>
            </w:pPr>
            <w:r>
              <w:t xml:space="preserve">Community members may identify child’s cultural abilities and qualities. </w:t>
            </w:r>
          </w:p>
          <w:p w:rsidR="006E03B9" w:rsidRDefault="006E03B9" w:rsidP="00ED1574">
            <w:pPr>
              <w:pStyle w:val="Tablebullet"/>
            </w:pPr>
            <w:r>
              <w:t xml:space="preserve">Particularly helpful where teachers have limited cultural and reo knowledge.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Effectiveness dependent on positive existing relationship between </w:t>
            </w:r>
            <w:proofErr w:type="spellStart"/>
            <w:r>
              <w:t>whanau</w:t>
            </w:r>
            <w:proofErr w:type="spellEnd"/>
            <w:r>
              <w:t xml:space="preserve"> or community and teacher.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Best sought within context of culturally appropriate and welcoming activities, such as a school </w:t>
            </w:r>
            <w:proofErr w:type="spellStart"/>
            <w:r>
              <w:t>powhiri</w:t>
            </w:r>
            <w:proofErr w:type="spellEnd"/>
            <w:r>
              <w:t xml:space="preserve"> or </w:t>
            </w:r>
            <w:proofErr w:type="spellStart"/>
            <w:r>
              <w:t>kapa</w:t>
            </w:r>
            <w:proofErr w:type="spellEnd"/>
            <w:r>
              <w:t xml:space="preserve"> </w:t>
            </w:r>
            <w:proofErr w:type="spellStart"/>
            <w:r>
              <w:t>haka</w:t>
            </w:r>
            <w:proofErr w:type="spellEnd"/>
            <w:r>
              <w:t xml:space="preserve"> concert.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Peer nomination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Māori students recognise their peers’ strengths and talents and are willing to share this information to trusted teachers. </w:t>
            </w:r>
          </w:p>
          <w:p w:rsidR="006E03B9" w:rsidRDefault="006E03B9" w:rsidP="00ED1574">
            <w:pPr>
              <w:pStyle w:val="Tablebullet"/>
            </w:pPr>
            <w:r>
              <w:t>Particularly useful for gifts exhibited outside the school environment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Effectiveness dependent on a culturally responsive environment where there is a trusting relationship between students and teacher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Use range of ways to collect information, including formal/informal, written/oral. Take note of who students go to for assistance and support, and who appears to have </w:t>
            </w:r>
            <w:proofErr w:type="spellStart"/>
            <w:r>
              <w:t>mana</w:t>
            </w:r>
            <w:proofErr w:type="spellEnd"/>
            <w:r>
              <w:t xml:space="preserve"> amongst their peers – they may be gifted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proofErr w:type="spellStart"/>
            <w:r>
              <w:lastRenderedPageBreak/>
              <w:t>Self nomination</w:t>
            </w:r>
            <w:proofErr w:type="spellEnd"/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Provides opportunities for students to share their strengths, some of which may not be evident within the normal school environment.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 xml:space="preserve">Students may feel as if they are being boastful, and so not want to nominate themselves. Effectiveness dependent on trusting pupil-teacher relationship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Effective if handled sensitively in culturally responsive, nurturing environment.</w:t>
            </w:r>
          </w:p>
          <w:p w:rsidR="006E03B9" w:rsidRDefault="006E03B9" w:rsidP="00ED1574">
            <w:pPr>
              <w:pStyle w:val="Tablebullet"/>
            </w:pPr>
            <w:r>
              <w:t xml:space="preserve">Students are more likely to share their interests and aspirations with someone who is genuinely interested in them and the outcome of this nomination is known and acceptable to them </w:t>
            </w:r>
          </w:p>
        </w:tc>
      </w:tr>
      <w:tr w:rsidR="006E03B9" w:rsidRPr="00A8402E" w:rsidTr="002D2732">
        <w:trPr>
          <w:cantSplit/>
        </w:trPr>
        <w:tc>
          <w:tcPr>
            <w:tcW w:w="0" w:type="auto"/>
          </w:tcPr>
          <w:p w:rsidR="006E03B9" w:rsidRDefault="006E03B9" w:rsidP="00167B8A">
            <w:r>
              <w:t>Tests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Culturally appropriate, relevant written tests give students an opportunity to exhibit their cultural expertise</w:t>
            </w:r>
          </w:p>
          <w:p w:rsidR="006E03B9" w:rsidRDefault="006E03B9" w:rsidP="00ED1574">
            <w:pPr>
              <w:pStyle w:val="Tablebullet"/>
            </w:pPr>
            <w:r>
              <w:t xml:space="preserve">Non-verbal tests have potential as  they are not reliant on language and their content is less prone to cultural bias 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Potential for cultural bias of test norms and content in standardised tests. Recognise high scores but interpret average or low scores with caution</w:t>
            </w:r>
          </w:p>
          <w:p w:rsidR="006E03B9" w:rsidRDefault="006E03B9" w:rsidP="00ED1574">
            <w:pPr>
              <w:pStyle w:val="Tablebullet"/>
            </w:pPr>
            <w:r>
              <w:t>Pen and paper tests may disadvantage children uncomfortable or unfamiliar with this format. In these circumstances oral tests may be more useful</w:t>
            </w:r>
          </w:p>
        </w:tc>
        <w:tc>
          <w:tcPr>
            <w:tcW w:w="0" w:type="auto"/>
          </w:tcPr>
          <w:p w:rsidR="006E03B9" w:rsidRDefault="006E03B9" w:rsidP="00ED1574">
            <w:pPr>
              <w:pStyle w:val="Tablebullet"/>
            </w:pPr>
            <w:r>
              <w:t>Teacher made tests that incorporate cultural perspectives and include open ended and divergent thinking items may be more effective than standardised tests</w:t>
            </w:r>
          </w:p>
        </w:tc>
      </w:tr>
    </w:tbl>
    <w:p w:rsidR="006E03B9" w:rsidRDefault="006E03B9" w:rsidP="006E03B9"/>
    <w:p w:rsidR="006E03B9" w:rsidRPr="00A01B8D" w:rsidRDefault="006E03B9" w:rsidP="006E03B9">
      <w:r w:rsidRPr="006E03B9">
        <w:t xml:space="preserve">Practical strategies and ideas that complement this checklist can be found in </w:t>
      </w:r>
      <w:hyperlink r:id="rId8" w:history="1">
        <w:r w:rsidRPr="006E03B9">
          <w:rPr>
            <w:rStyle w:val="Hyperlink"/>
          </w:rPr>
          <w:t>this article</w:t>
        </w:r>
      </w:hyperlink>
      <w:r w:rsidRPr="006E03B9">
        <w:t xml:space="preserve"> on which it is based</w:t>
      </w:r>
      <w:r w:rsidRPr="006E03B9">
        <w:rPr>
          <w:color w:val="FF0000"/>
        </w:rPr>
        <w:t xml:space="preserve"> </w:t>
      </w:r>
      <w:r w:rsidRPr="006E03B9">
        <w:t>and other M</w:t>
      </w:r>
      <w:r>
        <w:t>ā</w:t>
      </w:r>
      <w:r w:rsidRPr="006E03B9">
        <w:t>ori-relevant readings on this website</w:t>
      </w:r>
      <w:r w:rsidRPr="006E03B9">
        <w:t>.</w:t>
      </w:r>
    </w:p>
    <w:sectPr w:rsidR="006E03B9" w:rsidRPr="00A01B8D" w:rsidSect="00090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134" w:right="1134" w:bottom="1134" w:left="1134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2B" w:rsidRDefault="0009062B" w:rsidP="00221D12">
      <w:r>
        <w:separator/>
      </w:r>
    </w:p>
  </w:endnote>
  <w:endnote w:type="continuationSeparator" w:id="0">
    <w:p w:rsidR="0009062B" w:rsidRDefault="0009062B" w:rsidP="002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C" w:rsidRDefault="00C15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61" w:rsidRPr="00A01B8D" w:rsidRDefault="00C1554C" w:rsidP="00EE6F48">
    <w:pPr>
      <w:pStyle w:val="Footer"/>
      <w:pBdr>
        <w:top w:val="single" w:sz="2" w:space="1" w:color="A8A89D"/>
      </w:pBdr>
      <w:tabs>
        <w:tab w:val="clear" w:pos="4680"/>
        <w:tab w:val="clear" w:pos="9360"/>
        <w:tab w:val="right" w:pos="9639"/>
      </w:tabs>
      <w:spacing w:before="120" w:after="0"/>
      <w:jc w:val="right"/>
      <w:rPr>
        <w:sz w:val="16"/>
      </w:rPr>
    </w:pPr>
    <w:r>
      <w:rPr>
        <w:sz w:val="16"/>
      </w:rPr>
      <w:t xml:space="preserve">Bevan-Brown and Niederer (2012) | </w:t>
    </w:r>
    <w:r w:rsidR="002D5C5C">
      <w:rPr>
        <w:sz w:val="16"/>
      </w:rPr>
      <w:fldChar w:fldCharType="begin"/>
    </w:r>
    <w:r w:rsidR="00EE6F48">
      <w:rPr>
        <w:sz w:val="16"/>
      </w:rPr>
      <w:instrText xml:space="preserve"> FILENAME  \* Lower </w:instrText>
    </w:r>
    <w:r w:rsidR="002D5C5C">
      <w:rPr>
        <w:sz w:val="16"/>
      </w:rPr>
      <w:fldChar w:fldCharType="separate"/>
    </w:r>
    <w:r w:rsidR="00ED1574">
      <w:rPr>
        <w:noProof/>
        <w:sz w:val="16"/>
      </w:rPr>
      <w:t>identification of gifted māori students.docx</w:t>
    </w:r>
    <w:r w:rsidR="002D5C5C">
      <w:rPr>
        <w:sz w:val="16"/>
      </w:rPr>
      <w:fldChar w:fldCharType="end"/>
    </w:r>
    <w:r w:rsidR="00EE6F48">
      <w:rPr>
        <w:sz w:val="16"/>
      </w:rPr>
      <w:t xml:space="preserve"> | </w:t>
    </w:r>
    <w:r w:rsidR="00905061" w:rsidRPr="00A01B8D">
      <w:rPr>
        <w:sz w:val="16"/>
      </w:rPr>
      <w:t xml:space="preserve">Page </w:t>
    </w:r>
    <w:r w:rsidR="002D5C5C" w:rsidRPr="00A01B8D">
      <w:rPr>
        <w:sz w:val="16"/>
      </w:rPr>
      <w:fldChar w:fldCharType="begin"/>
    </w:r>
    <w:r w:rsidR="003A3397" w:rsidRPr="00A01B8D">
      <w:rPr>
        <w:sz w:val="16"/>
      </w:rPr>
      <w:instrText xml:space="preserve"> PAGE   \* MERGEFORMAT </w:instrText>
    </w:r>
    <w:r w:rsidR="002D5C5C" w:rsidRPr="00A01B8D">
      <w:rPr>
        <w:sz w:val="16"/>
      </w:rPr>
      <w:fldChar w:fldCharType="separate"/>
    </w:r>
    <w:r w:rsidR="006E03B9">
      <w:rPr>
        <w:noProof/>
        <w:sz w:val="16"/>
      </w:rPr>
      <w:t>1</w:t>
    </w:r>
    <w:r w:rsidR="002D5C5C" w:rsidRPr="00A01B8D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C" w:rsidRDefault="00C15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2B" w:rsidRDefault="0009062B" w:rsidP="00221D12">
      <w:r>
        <w:separator/>
      </w:r>
    </w:p>
  </w:footnote>
  <w:footnote w:type="continuationSeparator" w:id="0">
    <w:p w:rsidR="0009062B" w:rsidRDefault="0009062B" w:rsidP="0022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C" w:rsidRDefault="00C15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C" w:rsidRDefault="00C155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4C" w:rsidRDefault="00C15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B3B23"/>
    <w:multiLevelType w:val="hybridMultilevel"/>
    <w:tmpl w:val="01AECDE6"/>
    <w:lvl w:ilvl="0" w:tplc="A93AB076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242FB"/>
    <w:multiLevelType w:val="hybridMultilevel"/>
    <w:tmpl w:val="E1C850AE"/>
    <w:lvl w:ilvl="0" w:tplc="BC861174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pStyle w:val="Bullet2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D6EB0"/>
    <w:multiLevelType w:val="hybridMultilevel"/>
    <w:tmpl w:val="00EA7E98"/>
    <w:lvl w:ilvl="0" w:tplc="32D6A858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711D0"/>
    <w:multiLevelType w:val="hybridMultilevel"/>
    <w:tmpl w:val="F02C652C"/>
    <w:lvl w:ilvl="0" w:tplc="DDF6A6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B"/>
    <w:rsid w:val="000276A1"/>
    <w:rsid w:val="0003523D"/>
    <w:rsid w:val="000369D5"/>
    <w:rsid w:val="00040A12"/>
    <w:rsid w:val="0004724D"/>
    <w:rsid w:val="00060A44"/>
    <w:rsid w:val="00071DFE"/>
    <w:rsid w:val="0009062B"/>
    <w:rsid w:val="00091CF4"/>
    <w:rsid w:val="00094EE0"/>
    <w:rsid w:val="000A5496"/>
    <w:rsid w:val="000C2324"/>
    <w:rsid w:val="000C2E2D"/>
    <w:rsid w:val="000D00D3"/>
    <w:rsid w:val="000E4CFF"/>
    <w:rsid w:val="001068E6"/>
    <w:rsid w:val="00110B61"/>
    <w:rsid w:val="00113521"/>
    <w:rsid w:val="00115871"/>
    <w:rsid w:val="00130E6A"/>
    <w:rsid w:val="00131F72"/>
    <w:rsid w:val="00136E96"/>
    <w:rsid w:val="0015793E"/>
    <w:rsid w:val="00165752"/>
    <w:rsid w:val="001C03A0"/>
    <w:rsid w:val="001D0269"/>
    <w:rsid w:val="001D0298"/>
    <w:rsid w:val="001E7163"/>
    <w:rsid w:val="00216037"/>
    <w:rsid w:val="00221D12"/>
    <w:rsid w:val="00224A51"/>
    <w:rsid w:val="00230AA0"/>
    <w:rsid w:val="00230D83"/>
    <w:rsid w:val="002312FD"/>
    <w:rsid w:val="00236D7D"/>
    <w:rsid w:val="00241E30"/>
    <w:rsid w:val="002422D9"/>
    <w:rsid w:val="00244F37"/>
    <w:rsid w:val="0029002B"/>
    <w:rsid w:val="002A26F4"/>
    <w:rsid w:val="002A5296"/>
    <w:rsid w:val="002B4F0F"/>
    <w:rsid w:val="002B5CEE"/>
    <w:rsid w:val="002D05AD"/>
    <w:rsid w:val="002D5C5C"/>
    <w:rsid w:val="002E3AE5"/>
    <w:rsid w:val="002E51D1"/>
    <w:rsid w:val="002F27D3"/>
    <w:rsid w:val="002F50DB"/>
    <w:rsid w:val="003042E6"/>
    <w:rsid w:val="00320974"/>
    <w:rsid w:val="0033599F"/>
    <w:rsid w:val="0033615B"/>
    <w:rsid w:val="00341822"/>
    <w:rsid w:val="003421D7"/>
    <w:rsid w:val="003425F4"/>
    <w:rsid w:val="00345553"/>
    <w:rsid w:val="003517EF"/>
    <w:rsid w:val="00351D3D"/>
    <w:rsid w:val="003579E0"/>
    <w:rsid w:val="00374151"/>
    <w:rsid w:val="00376550"/>
    <w:rsid w:val="003A094D"/>
    <w:rsid w:val="003A3397"/>
    <w:rsid w:val="003A54B4"/>
    <w:rsid w:val="003B1313"/>
    <w:rsid w:val="003B66C0"/>
    <w:rsid w:val="003B6A62"/>
    <w:rsid w:val="003D2305"/>
    <w:rsid w:val="003E28C8"/>
    <w:rsid w:val="003E52DD"/>
    <w:rsid w:val="003E6322"/>
    <w:rsid w:val="003E781D"/>
    <w:rsid w:val="003F092C"/>
    <w:rsid w:val="00407122"/>
    <w:rsid w:val="0041282F"/>
    <w:rsid w:val="00420C05"/>
    <w:rsid w:val="0043796E"/>
    <w:rsid w:val="004452B7"/>
    <w:rsid w:val="00456B4E"/>
    <w:rsid w:val="004658F7"/>
    <w:rsid w:val="004707A1"/>
    <w:rsid w:val="004728D6"/>
    <w:rsid w:val="004827B9"/>
    <w:rsid w:val="004835C0"/>
    <w:rsid w:val="004A1306"/>
    <w:rsid w:val="004A5E47"/>
    <w:rsid w:val="004D489C"/>
    <w:rsid w:val="004D6556"/>
    <w:rsid w:val="004E33E2"/>
    <w:rsid w:val="00503EB3"/>
    <w:rsid w:val="00516743"/>
    <w:rsid w:val="00547CAA"/>
    <w:rsid w:val="005559E5"/>
    <w:rsid w:val="0055607F"/>
    <w:rsid w:val="005655C0"/>
    <w:rsid w:val="00572079"/>
    <w:rsid w:val="00576880"/>
    <w:rsid w:val="005776B8"/>
    <w:rsid w:val="0058735E"/>
    <w:rsid w:val="005A0851"/>
    <w:rsid w:val="005A328E"/>
    <w:rsid w:val="005A5FE8"/>
    <w:rsid w:val="005A7372"/>
    <w:rsid w:val="005C1535"/>
    <w:rsid w:val="005D3188"/>
    <w:rsid w:val="005D5386"/>
    <w:rsid w:val="005F39C1"/>
    <w:rsid w:val="005F502C"/>
    <w:rsid w:val="005F50AE"/>
    <w:rsid w:val="006025FB"/>
    <w:rsid w:val="00622D82"/>
    <w:rsid w:val="00622D8B"/>
    <w:rsid w:val="006353A4"/>
    <w:rsid w:val="00645EEF"/>
    <w:rsid w:val="0065270E"/>
    <w:rsid w:val="0067717F"/>
    <w:rsid w:val="006915CB"/>
    <w:rsid w:val="006A1ED6"/>
    <w:rsid w:val="006A3CD6"/>
    <w:rsid w:val="006A5C0D"/>
    <w:rsid w:val="006B2037"/>
    <w:rsid w:val="006B6221"/>
    <w:rsid w:val="006C71A4"/>
    <w:rsid w:val="006C7540"/>
    <w:rsid w:val="006C7729"/>
    <w:rsid w:val="006D0791"/>
    <w:rsid w:val="006D3632"/>
    <w:rsid w:val="006D4EFD"/>
    <w:rsid w:val="006E03B9"/>
    <w:rsid w:val="006E1EDD"/>
    <w:rsid w:val="006E37D7"/>
    <w:rsid w:val="006E3C09"/>
    <w:rsid w:val="00702FDB"/>
    <w:rsid w:val="00710982"/>
    <w:rsid w:val="007237F0"/>
    <w:rsid w:val="00723E29"/>
    <w:rsid w:val="00736574"/>
    <w:rsid w:val="007423CD"/>
    <w:rsid w:val="00773CA9"/>
    <w:rsid w:val="007962D7"/>
    <w:rsid w:val="007A3C3B"/>
    <w:rsid w:val="007A60ED"/>
    <w:rsid w:val="007B16E3"/>
    <w:rsid w:val="007B1B65"/>
    <w:rsid w:val="007C06AF"/>
    <w:rsid w:val="00801976"/>
    <w:rsid w:val="008063E8"/>
    <w:rsid w:val="00806B0C"/>
    <w:rsid w:val="008073E1"/>
    <w:rsid w:val="00811401"/>
    <w:rsid w:val="0081421B"/>
    <w:rsid w:val="00847E5B"/>
    <w:rsid w:val="008538F2"/>
    <w:rsid w:val="00874969"/>
    <w:rsid w:val="008940B7"/>
    <w:rsid w:val="008A7766"/>
    <w:rsid w:val="008B31E6"/>
    <w:rsid w:val="008C7B57"/>
    <w:rsid w:val="008D10C4"/>
    <w:rsid w:val="008D4434"/>
    <w:rsid w:val="008E03C5"/>
    <w:rsid w:val="008F53C6"/>
    <w:rsid w:val="008F7F5B"/>
    <w:rsid w:val="00905061"/>
    <w:rsid w:val="0090609A"/>
    <w:rsid w:val="00912077"/>
    <w:rsid w:val="009151BF"/>
    <w:rsid w:val="00945AD9"/>
    <w:rsid w:val="00956675"/>
    <w:rsid w:val="00972727"/>
    <w:rsid w:val="009800F0"/>
    <w:rsid w:val="009A2D4F"/>
    <w:rsid w:val="009A723C"/>
    <w:rsid w:val="009B1FBF"/>
    <w:rsid w:val="009B68E8"/>
    <w:rsid w:val="009D1118"/>
    <w:rsid w:val="009D6B1D"/>
    <w:rsid w:val="009F1821"/>
    <w:rsid w:val="009F20E7"/>
    <w:rsid w:val="009F3A39"/>
    <w:rsid w:val="009F40BD"/>
    <w:rsid w:val="009F5BB2"/>
    <w:rsid w:val="009F7A96"/>
    <w:rsid w:val="00A01B8D"/>
    <w:rsid w:val="00A15341"/>
    <w:rsid w:val="00A17363"/>
    <w:rsid w:val="00A30E70"/>
    <w:rsid w:val="00A343A9"/>
    <w:rsid w:val="00A411CA"/>
    <w:rsid w:val="00A54BF5"/>
    <w:rsid w:val="00A70642"/>
    <w:rsid w:val="00A93E88"/>
    <w:rsid w:val="00A9418E"/>
    <w:rsid w:val="00A95111"/>
    <w:rsid w:val="00AA3BF2"/>
    <w:rsid w:val="00AA6088"/>
    <w:rsid w:val="00AA64AA"/>
    <w:rsid w:val="00AB51EE"/>
    <w:rsid w:val="00AB613F"/>
    <w:rsid w:val="00AB6D3B"/>
    <w:rsid w:val="00AC1168"/>
    <w:rsid w:val="00AD3002"/>
    <w:rsid w:val="00AD64A6"/>
    <w:rsid w:val="00AF0935"/>
    <w:rsid w:val="00AF3606"/>
    <w:rsid w:val="00B00061"/>
    <w:rsid w:val="00B0018C"/>
    <w:rsid w:val="00B14A2B"/>
    <w:rsid w:val="00B15273"/>
    <w:rsid w:val="00B304F8"/>
    <w:rsid w:val="00B3110B"/>
    <w:rsid w:val="00B406B8"/>
    <w:rsid w:val="00B40F8D"/>
    <w:rsid w:val="00B632F8"/>
    <w:rsid w:val="00B64840"/>
    <w:rsid w:val="00B813D3"/>
    <w:rsid w:val="00BA256F"/>
    <w:rsid w:val="00BA4A87"/>
    <w:rsid w:val="00BB0596"/>
    <w:rsid w:val="00BB2BA1"/>
    <w:rsid w:val="00BD28CD"/>
    <w:rsid w:val="00BE00AF"/>
    <w:rsid w:val="00BE1458"/>
    <w:rsid w:val="00C01BC9"/>
    <w:rsid w:val="00C02D50"/>
    <w:rsid w:val="00C132A3"/>
    <w:rsid w:val="00C1508F"/>
    <w:rsid w:val="00C1554C"/>
    <w:rsid w:val="00C27C85"/>
    <w:rsid w:val="00C34A70"/>
    <w:rsid w:val="00C4240C"/>
    <w:rsid w:val="00C44DA2"/>
    <w:rsid w:val="00C5005C"/>
    <w:rsid w:val="00C64AD3"/>
    <w:rsid w:val="00C6511A"/>
    <w:rsid w:val="00C77801"/>
    <w:rsid w:val="00C92B7D"/>
    <w:rsid w:val="00CA3527"/>
    <w:rsid w:val="00CB1560"/>
    <w:rsid w:val="00CC33FD"/>
    <w:rsid w:val="00CD799F"/>
    <w:rsid w:val="00CE3193"/>
    <w:rsid w:val="00CF66B9"/>
    <w:rsid w:val="00D11A05"/>
    <w:rsid w:val="00D46E0A"/>
    <w:rsid w:val="00D51E93"/>
    <w:rsid w:val="00D601F4"/>
    <w:rsid w:val="00D81FD9"/>
    <w:rsid w:val="00D9656D"/>
    <w:rsid w:val="00DA2FAF"/>
    <w:rsid w:val="00DB5675"/>
    <w:rsid w:val="00DB786F"/>
    <w:rsid w:val="00DC0CB5"/>
    <w:rsid w:val="00DD0B48"/>
    <w:rsid w:val="00DD555F"/>
    <w:rsid w:val="00E056CD"/>
    <w:rsid w:val="00E1146F"/>
    <w:rsid w:val="00E22782"/>
    <w:rsid w:val="00E265BE"/>
    <w:rsid w:val="00E27DFE"/>
    <w:rsid w:val="00E70E09"/>
    <w:rsid w:val="00E810C3"/>
    <w:rsid w:val="00E85C29"/>
    <w:rsid w:val="00E8761E"/>
    <w:rsid w:val="00E9452F"/>
    <w:rsid w:val="00EA48AC"/>
    <w:rsid w:val="00EB33E0"/>
    <w:rsid w:val="00EB796F"/>
    <w:rsid w:val="00EC5400"/>
    <w:rsid w:val="00ED1574"/>
    <w:rsid w:val="00EE0C69"/>
    <w:rsid w:val="00EE3AF5"/>
    <w:rsid w:val="00EE4050"/>
    <w:rsid w:val="00EE6F48"/>
    <w:rsid w:val="00EF2876"/>
    <w:rsid w:val="00EF3FF8"/>
    <w:rsid w:val="00EF49A8"/>
    <w:rsid w:val="00EF58DC"/>
    <w:rsid w:val="00F0428D"/>
    <w:rsid w:val="00F0507E"/>
    <w:rsid w:val="00F358AD"/>
    <w:rsid w:val="00F45A43"/>
    <w:rsid w:val="00F472A1"/>
    <w:rsid w:val="00F50450"/>
    <w:rsid w:val="00F61DE5"/>
    <w:rsid w:val="00F73BAE"/>
    <w:rsid w:val="00F85AAF"/>
    <w:rsid w:val="00F877A8"/>
    <w:rsid w:val="00F97448"/>
    <w:rsid w:val="00FA2303"/>
    <w:rsid w:val="00FB2AE1"/>
    <w:rsid w:val="00FC169D"/>
    <w:rsid w:val="00FD5FFD"/>
    <w:rsid w:val="00FE18F6"/>
    <w:rsid w:val="00FE2135"/>
    <w:rsid w:val="00FE2BA1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48"/>
    <w:pPr>
      <w:keepLines/>
      <w:spacing w:after="160" w:line="240" w:lineRule="auto"/>
    </w:pPr>
    <w:rPr>
      <w:rFonts w:ascii="Tahoma" w:hAnsi="Tahoma" w:cs="Tahoma"/>
      <w:sz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6F48"/>
    <w:pPr>
      <w:keepNext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  <w:rPr>
      <w:lang w:eastAsia="en-NZ"/>
    </w:r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Tablenormal0"/>
    <w:qFormat/>
    <w:rsid w:val="00EE6F48"/>
    <w:pPr>
      <w:numPr>
        <w:numId w:val="6"/>
      </w:numPr>
      <w:ind w:left="198" w:hanging="198"/>
    </w:pPr>
  </w:style>
  <w:style w:type="paragraph" w:customStyle="1" w:styleId="Tablenormal0">
    <w:name w:val="Table normal"/>
    <w:basedOn w:val="Normal"/>
    <w:qFormat/>
    <w:rsid w:val="00EE6F48"/>
    <w:pPr>
      <w:spacing w:before="40" w:after="0"/>
    </w:pPr>
    <w:rPr>
      <w:szCs w:val="20"/>
      <w:lang w:eastAsia="en-NZ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9151BF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E6F48"/>
    <w:rPr>
      <w:rFonts w:asciiTheme="majorHAnsi" w:eastAsiaTheme="majorEastAsia" w:hAnsiTheme="majorHAnsi" w:cstheme="majorBidi"/>
      <w:color w:val="243F60" w:themeColor="accent1" w:themeShade="7F"/>
      <w:sz w:val="20"/>
      <w:lang w:val="en-NZ"/>
    </w:rPr>
  </w:style>
  <w:style w:type="character" w:styleId="Hyperlink">
    <w:name w:val="Hyperlink"/>
    <w:basedOn w:val="DefaultParagraphFont"/>
    <w:uiPriority w:val="99"/>
    <w:unhideWhenUsed/>
    <w:rsid w:val="006E03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48"/>
    <w:pPr>
      <w:keepLines/>
      <w:spacing w:after="160" w:line="240" w:lineRule="auto"/>
    </w:pPr>
    <w:rPr>
      <w:rFonts w:ascii="Tahoma" w:hAnsi="Tahoma" w:cs="Tahoma"/>
      <w:sz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50"/>
    <w:pPr>
      <w:keepNext/>
      <w:pBdr>
        <w:bottom w:val="single" w:sz="6" w:space="1" w:color="8EBD3F"/>
      </w:pBdr>
      <w:spacing w:before="360" w:after="36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50"/>
    <w:pPr>
      <w:keepNext/>
      <w:spacing w:before="240"/>
      <w:outlineLvl w:val="1"/>
    </w:pPr>
    <w:rPr>
      <w:caps/>
      <w:color w:val="8EBD3F"/>
      <w:sz w:val="28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050"/>
    <w:pPr>
      <w:keepNext/>
      <w:spacing w:before="160" w:after="120"/>
      <w:outlineLvl w:val="2"/>
    </w:pPr>
    <w:rPr>
      <w:b/>
      <w:sz w:val="28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4050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E6F48"/>
    <w:pPr>
      <w:keepNext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50"/>
    <w:rPr>
      <w:rFonts w:ascii="Tahoma" w:hAnsi="Tahoma" w:cs="Tahoma"/>
      <w:color w:val="000000" w:themeColor="text1"/>
      <w:sz w:val="36"/>
      <w:szCs w:val="3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EE4050"/>
    <w:rPr>
      <w:rFonts w:ascii="Tahoma" w:hAnsi="Tahoma" w:cs="Tahoma"/>
      <w:caps/>
      <w:color w:val="8EBD3F"/>
      <w:sz w:val="2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E4050"/>
    <w:rPr>
      <w:rFonts w:ascii="Sylfaen" w:hAnsi="Sylfaen" w:cs="Tahoma"/>
      <w:b/>
      <w:sz w:val="28"/>
      <w:lang w:val="en-NZ" w:eastAsia="en-NZ"/>
    </w:rPr>
  </w:style>
  <w:style w:type="paragraph" w:styleId="ListParagraph">
    <w:name w:val="List Paragraph"/>
    <w:basedOn w:val="Normal"/>
    <w:uiPriority w:val="34"/>
    <w:rsid w:val="00905061"/>
    <w:pPr>
      <w:ind w:left="720"/>
      <w:contextualSpacing/>
    </w:pPr>
  </w:style>
  <w:style w:type="paragraph" w:customStyle="1" w:styleId="Bullet1">
    <w:name w:val="Bullet1"/>
    <w:basedOn w:val="Normal"/>
    <w:link w:val="Bullet1Char"/>
    <w:qFormat/>
    <w:rsid w:val="00EE4050"/>
    <w:pPr>
      <w:numPr>
        <w:numId w:val="5"/>
      </w:numPr>
    </w:pPr>
    <w:rPr>
      <w:lang w:eastAsia="en-NZ"/>
    </w:rPr>
  </w:style>
  <w:style w:type="paragraph" w:customStyle="1" w:styleId="Bullet2">
    <w:name w:val="Bullet2"/>
    <w:basedOn w:val="Bullet1"/>
    <w:rsid w:val="009151BF"/>
    <w:pPr>
      <w:numPr>
        <w:ilvl w:val="1"/>
        <w:numId w:val="2"/>
      </w:numPr>
      <w:tabs>
        <w:tab w:val="clear" w:pos="1440"/>
        <w:tab w:val="num" w:pos="567"/>
      </w:tabs>
      <w:ind w:left="568" w:hanging="284"/>
    </w:pPr>
    <w:rPr>
      <w:rFonts w:eastAsia="Times New Roman"/>
      <w:lang w:eastAsia="en-GB"/>
    </w:rPr>
  </w:style>
  <w:style w:type="character" w:customStyle="1" w:styleId="Bullet1Char">
    <w:name w:val="Bullet1 Char"/>
    <w:basedOn w:val="DefaultParagraphFont"/>
    <w:link w:val="Bullet1"/>
    <w:locked/>
    <w:rsid w:val="00EE4050"/>
    <w:rPr>
      <w:rFonts w:ascii="Sylfaen" w:hAnsi="Sylfaen" w:cs="Tahoma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EE4050"/>
    <w:rPr>
      <w:rFonts w:ascii="Sylfaen" w:eastAsiaTheme="majorEastAsia" w:hAnsi="Sylfaen" w:cstheme="majorBidi"/>
      <w:b/>
      <w:bCs/>
      <w:iCs/>
      <w:sz w:val="24"/>
      <w:szCs w:val="24"/>
      <w:lang w:val="en-NZ"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ullet">
    <w:name w:val="Table bullet"/>
    <w:basedOn w:val="Tablenormal0"/>
    <w:qFormat/>
    <w:rsid w:val="00EE6F48"/>
    <w:pPr>
      <w:numPr>
        <w:numId w:val="6"/>
      </w:numPr>
      <w:ind w:left="198" w:hanging="198"/>
    </w:pPr>
  </w:style>
  <w:style w:type="paragraph" w:customStyle="1" w:styleId="Tablenormal0">
    <w:name w:val="Table normal"/>
    <w:basedOn w:val="Normal"/>
    <w:qFormat/>
    <w:rsid w:val="00EE6F48"/>
    <w:pPr>
      <w:spacing w:before="40" w:after="0"/>
    </w:pPr>
    <w:rPr>
      <w:szCs w:val="20"/>
      <w:lang w:eastAsia="en-NZ"/>
    </w:rPr>
  </w:style>
  <w:style w:type="paragraph" w:customStyle="1" w:styleId="Bullet">
    <w:name w:val="Bullet"/>
    <w:basedOn w:val="Bullet1"/>
    <w:link w:val="BulletChar"/>
    <w:rsid w:val="00EE4050"/>
    <w:pPr>
      <w:ind w:left="284" w:hanging="284"/>
    </w:pPr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Normal"/>
    <w:qFormat/>
    <w:rsid w:val="009151BF"/>
    <w:pPr>
      <w:numPr>
        <w:numId w:val="8"/>
      </w:numPr>
      <w:ind w:left="284" w:hanging="284"/>
    </w:pPr>
  </w:style>
  <w:style w:type="paragraph" w:customStyle="1" w:styleId="Tablenumbering">
    <w:name w:val="Table numbering"/>
    <w:basedOn w:val="Tablenormal0"/>
    <w:qFormat/>
    <w:rsid w:val="00374151"/>
    <w:pPr>
      <w:numPr>
        <w:numId w:val="9"/>
      </w:numPr>
      <w:ind w:left="198" w:hanging="198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E6F48"/>
    <w:rPr>
      <w:rFonts w:asciiTheme="majorHAnsi" w:eastAsiaTheme="majorEastAsia" w:hAnsiTheme="majorHAnsi" w:cstheme="majorBidi"/>
      <w:color w:val="243F60" w:themeColor="accent1" w:themeShade="7F"/>
      <w:sz w:val="20"/>
      <w:lang w:val="en-NZ"/>
    </w:rPr>
  </w:style>
  <w:style w:type="character" w:styleId="Hyperlink">
    <w:name w:val="Hyperlink"/>
    <w:basedOn w:val="DefaultParagraphFont"/>
    <w:uiPriority w:val="99"/>
    <w:unhideWhenUsed/>
    <w:rsid w:val="006E03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tedchildren.org.nz/apex/pdfs15/Bevan-Brown%20J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Cognition Education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Wallis</dc:creator>
  <cp:lastModifiedBy>Suzi Wallis</cp:lastModifiedBy>
  <cp:revision>4</cp:revision>
  <cp:lastPrinted>2009-07-22T21:42:00Z</cp:lastPrinted>
  <dcterms:created xsi:type="dcterms:W3CDTF">2012-02-06T21:48:00Z</dcterms:created>
  <dcterms:modified xsi:type="dcterms:W3CDTF">2012-04-03T21:41:00Z</dcterms:modified>
</cp:coreProperties>
</file>